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8D" w:rsidRDefault="002E128D" w:rsidP="00214F70">
      <w:pPr>
        <w:spacing w:after="0" w:line="240" w:lineRule="auto"/>
        <w:rPr>
          <w:b/>
        </w:rPr>
      </w:pPr>
      <w:r w:rsidRPr="00851BB8">
        <w:rPr>
          <w:b/>
          <w:noProof/>
        </w:rPr>
        <w:drawing>
          <wp:anchor distT="0" distB="0" distL="114300" distR="114300" simplePos="0" relativeHeight="251659264" behindDoc="0" locked="0" layoutInCell="1" allowOverlap="1">
            <wp:simplePos x="0" y="0"/>
            <wp:positionH relativeFrom="margin">
              <wp:posOffset>-57150</wp:posOffset>
            </wp:positionH>
            <wp:positionV relativeFrom="margin">
              <wp:posOffset>-542925</wp:posOffset>
            </wp:positionV>
            <wp:extent cx="1084580" cy="695325"/>
            <wp:effectExtent l="0" t="0" r="0" b="0"/>
            <wp:wrapSquare wrapText="bothSides"/>
            <wp:docPr id="3" name="Picture 4" descr="K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 logo.png"/>
                    <pic:cNvPicPr/>
                  </pic:nvPicPr>
                  <pic:blipFill>
                    <a:blip r:embed="rId6" cstate="print"/>
                    <a:stretch>
                      <a:fillRect/>
                    </a:stretch>
                  </pic:blipFill>
                  <pic:spPr>
                    <a:xfrm>
                      <a:off x="0" y="0"/>
                      <a:ext cx="1084580" cy="695325"/>
                    </a:xfrm>
                    <a:prstGeom prst="rect">
                      <a:avLst/>
                    </a:prstGeom>
                  </pic:spPr>
                </pic:pic>
              </a:graphicData>
            </a:graphic>
          </wp:anchor>
        </w:drawing>
      </w:r>
    </w:p>
    <w:p w:rsidR="002E128D" w:rsidRPr="00851BB8" w:rsidRDefault="002E128D" w:rsidP="00B750E2">
      <w:pPr>
        <w:spacing w:after="0" w:line="240" w:lineRule="auto"/>
        <w:rPr>
          <w:b/>
        </w:rPr>
      </w:pPr>
      <w:r w:rsidRPr="00851BB8">
        <w:rPr>
          <w:rFonts w:ascii="Arial" w:hAnsi="Arial" w:cs="Arial"/>
          <w:b/>
        </w:rPr>
        <w:t>KISTLER AGENCY, LLC</w:t>
      </w:r>
    </w:p>
    <w:p w:rsidR="002E128D" w:rsidRPr="00851BB8" w:rsidRDefault="002E128D" w:rsidP="00B750E2">
      <w:pPr>
        <w:spacing w:after="0" w:line="240" w:lineRule="auto"/>
        <w:rPr>
          <w:rFonts w:ascii="Arial" w:hAnsi="Arial" w:cs="Arial"/>
          <w:sz w:val="16"/>
          <w:szCs w:val="16"/>
        </w:rPr>
      </w:pPr>
      <w:r w:rsidRPr="00851BB8">
        <w:rPr>
          <w:rFonts w:ascii="Arial" w:hAnsi="Arial" w:cs="Arial"/>
          <w:sz w:val="16"/>
          <w:szCs w:val="16"/>
        </w:rPr>
        <w:t xml:space="preserve">3400 Peachtree Road, Suite 1720, Atlanta, GA 30326 </w:t>
      </w:r>
    </w:p>
    <w:p w:rsidR="002E128D" w:rsidRPr="00851BB8" w:rsidRDefault="002E128D" w:rsidP="00B750E2">
      <w:pPr>
        <w:spacing w:after="0" w:line="240" w:lineRule="auto"/>
        <w:rPr>
          <w:rFonts w:ascii="Arial" w:hAnsi="Arial" w:cs="Arial"/>
          <w:sz w:val="16"/>
          <w:szCs w:val="16"/>
        </w:rPr>
      </w:pPr>
      <w:r w:rsidRPr="00851BB8">
        <w:rPr>
          <w:rFonts w:ascii="Arial" w:hAnsi="Arial" w:cs="Arial"/>
          <w:sz w:val="16"/>
          <w:szCs w:val="16"/>
        </w:rPr>
        <w:t>(P) 404.239.7020 | (C) 404.989.9622 | (F) 404.239.7029</w:t>
      </w:r>
    </w:p>
    <w:p w:rsidR="00C81CFC" w:rsidRDefault="002E128D" w:rsidP="00214F70">
      <w:pPr>
        <w:spacing w:after="0" w:line="240" w:lineRule="auto"/>
      </w:pPr>
      <w:r w:rsidRPr="00851BB8">
        <w:rPr>
          <w:rFonts w:ascii="Arial" w:hAnsi="Arial" w:cs="Arial"/>
          <w:sz w:val="16"/>
          <w:szCs w:val="16"/>
        </w:rPr>
        <w:t xml:space="preserve">Email: </w:t>
      </w:r>
      <w:hyperlink r:id="rId7" w:history="1">
        <w:r w:rsidRPr="00851BB8">
          <w:rPr>
            <w:rStyle w:val="Hyperlink"/>
            <w:rFonts w:ascii="Arial" w:hAnsi="Arial" w:cs="Arial"/>
            <w:sz w:val="16"/>
            <w:szCs w:val="16"/>
          </w:rPr>
          <w:t>tkistler@kistleragency.com</w:t>
        </w:r>
      </w:hyperlink>
    </w:p>
    <w:p w:rsidR="00C81CFC" w:rsidRPr="00BB29FC" w:rsidRDefault="00C81CFC" w:rsidP="00214F70">
      <w:pPr>
        <w:spacing w:after="0" w:line="240" w:lineRule="auto"/>
        <w:jc w:val="center"/>
        <w:rPr>
          <w:rFonts w:ascii="Arial" w:hAnsi="Arial" w:cs="Arial"/>
          <w:b/>
          <w:sz w:val="20"/>
          <w:szCs w:val="20"/>
        </w:rPr>
      </w:pPr>
      <w:r w:rsidRPr="00BB29FC">
        <w:rPr>
          <w:rFonts w:ascii="Arial" w:hAnsi="Arial" w:cs="Arial"/>
          <w:b/>
          <w:sz w:val="20"/>
          <w:szCs w:val="20"/>
        </w:rPr>
        <w:t>GAP</w:t>
      </w:r>
    </w:p>
    <w:p w:rsidR="00481769" w:rsidRDefault="00C81CFC" w:rsidP="00214F70">
      <w:pPr>
        <w:spacing w:after="0" w:line="240" w:lineRule="auto"/>
        <w:jc w:val="center"/>
        <w:rPr>
          <w:rFonts w:ascii="Arial" w:hAnsi="Arial" w:cs="Arial"/>
          <w:b/>
          <w:sz w:val="20"/>
          <w:szCs w:val="20"/>
        </w:rPr>
      </w:pPr>
      <w:r w:rsidRPr="00BB29FC">
        <w:rPr>
          <w:rFonts w:ascii="Arial" w:hAnsi="Arial" w:cs="Arial"/>
          <w:b/>
          <w:sz w:val="20"/>
          <w:szCs w:val="20"/>
        </w:rPr>
        <w:t>(Guaranteed Asset Protection)</w:t>
      </w:r>
    </w:p>
    <w:p w:rsidR="00BB29FC" w:rsidRPr="00BB29FC" w:rsidRDefault="00BB29FC" w:rsidP="00214F70">
      <w:pPr>
        <w:spacing w:after="0" w:line="240" w:lineRule="auto"/>
        <w:jc w:val="center"/>
        <w:rPr>
          <w:rFonts w:ascii="Arial" w:hAnsi="Arial" w:cs="Arial"/>
          <w:b/>
          <w:sz w:val="20"/>
          <w:szCs w:val="20"/>
        </w:rPr>
      </w:pPr>
    </w:p>
    <w:p w:rsidR="00481769" w:rsidRPr="00BB29FC" w:rsidRDefault="00C81CFC" w:rsidP="00214F70">
      <w:pPr>
        <w:spacing w:line="240" w:lineRule="auto"/>
        <w:jc w:val="center"/>
        <w:rPr>
          <w:rFonts w:ascii="Arial" w:hAnsi="Arial" w:cs="Arial"/>
          <w:sz w:val="16"/>
          <w:szCs w:val="16"/>
        </w:rPr>
      </w:pPr>
      <w:r w:rsidRPr="00BB29FC">
        <w:rPr>
          <w:rFonts w:ascii="Arial" w:hAnsi="Arial" w:cs="Arial"/>
          <w:sz w:val="16"/>
          <w:szCs w:val="16"/>
        </w:rPr>
        <w:t>COVER POTENTIAL LOSSES BY HELPING YOUR BORROWERS COVER THE “GAP”</w:t>
      </w:r>
    </w:p>
    <w:tbl>
      <w:tblPr>
        <w:tblStyle w:val="TableGrid"/>
        <w:tblW w:w="0" w:type="auto"/>
        <w:tblCellSpacing w:w="21" w:type="dxa"/>
        <w:tblCellMar>
          <w:left w:w="115" w:type="dxa"/>
          <w:right w:w="115" w:type="dxa"/>
        </w:tblCellMar>
        <w:tblLook w:val="04A0"/>
      </w:tblPr>
      <w:tblGrid>
        <w:gridCol w:w="9660"/>
      </w:tblGrid>
      <w:tr w:rsidR="00C81CFC" w:rsidTr="00835A5F">
        <w:trPr>
          <w:tblCellSpacing w:w="21" w:type="dxa"/>
        </w:trPr>
        <w:tc>
          <w:tcPr>
            <w:tcW w:w="9576" w:type="dxa"/>
          </w:tcPr>
          <w:p w:rsidR="00C81CFC" w:rsidRPr="00BB29FC" w:rsidRDefault="00C81CFC" w:rsidP="00835A5F">
            <w:pPr>
              <w:rPr>
                <w:rFonts w:ascii="Arial" w:hAnsi="Arial" w:cs="Arial"/>
                <w:b/>
                <w:sz w:val="16"/>
                <w:szCs w:val="16"/>
              </w:rPr>
            </w:pPr>
            <w:r w:rsidRPr="00BB29FC">
              <w:rPr>
                <w:rFonts w:ascii="Arial" w:hAnsi="Arial" w:cs="Arial"/>
                <w:b/>
                <w:sz w:val="16"/>
                <w:szCs w:val="16"/>
              </w:rPr>
              <w:t>What’s the GAP?</w:t>
            </w:r>
          </w:p>
        </w:tc>
      </w:tr>
      <w:tr w:rsidR="00C81CFC" w:rsidRPr="00BB29FC" w:rsidTr="00835A5F">
        <w:trPr>
          <w:tblCellSpacing w:w="21" w:type="dxa"/>
        </w:trPr>
        <w:tc>
          <w:tcPr>
            <w:tcW w:w="9576" w:type="dxa"/>
          </w:tcPr>
          <w:p w:rsidR="00C81CFC" w:rsidRPr="00BB29FC" w:rsidRDefault="00C81CFC" w:rsidP="00835A5F">
            <w:pPr>
              <w:rPr>
                <w:rFonts w:ascii="Arial" w:hAnsi="Arial" w:cs="Arial"/>
                <w:sz w:val="16"/>
                <w:szCs w:val="16"/>
              </w:rPr>
            </w:pPr>
          </w:p>
          <w:p w:rsidR="00C81CFC" w:rsidRPr="00BB29FC" w:rsidRDefault="00C81CFC" w:rsidP="00835A5F">
            <w:pPr>
              <w:rPr>
                <w:rFonts w:ascii="Arial" w:hAnsi="Arial" w:cs="Arial"/>
                <w:sz w:val="16"/>
                <w:szCs w:val="16"/>
              </w:rPr>
            </w:pPr>
            <w:r w:rsidRPr="00BB29FC">
              <w:rPr>
                <w:rFonts w:ascii="Arial" w:hAnsi="Arial" w:cs="Arial"/>
                <w:sz w:val="16"/>
                <w:szCs w:val="16"/>
              </w:rPr>
              <w:t xml:space="preserve">The value of a vehicle declines rapidly during the first several years of ownership, and with loan terms steadily increasing and down payments decreasing, the loan payoff amortizes in a slower manner throughout the term of the contract. </w:t>
            </w:r>
          </w:p>
          <w:p w:rsidR="00C81CFC" w:rsidRPr="00BB29FC" w:rsidRDefault="00C81CFC" w:rsidP="00835A5F">
            <w:pPr>
              <w:rPr>
                <w:rFonts w:ascii="Arial" w:hAnsi="Arial" w:cs="Arial"/>
                <w:sz w:val="16"/>
                <w:szCs w:val="16"/>
              </w:rPr>
            </w:pPr>
          </w:p>
          <w:p w:rsidR="00C81CFC" w:rsidRDefault="00C81CFC" w:rsidP="00835A5F">
            <w:pPr>
              <w:rPr>
                <w:rFonts w:ascii="Arial" w:hAnsi="Arial" w:cs="Arial"/>
                <w:sz w:val="16"/>
                <w:szCs w:val="16"/>
              </w:rPr>
            </w:pPr>
            <w:r w:rsidRPr="00BB29FC">
              <w:rPr>
                <w:rFonts w:ascii="Arial" w:hAnsi="Arial" w:cs="Arial"/>
                <w:sz w:val="16"/>
                <w:szCs w:val="16"/>
              </w:rPr>
              <w:t>Maintaining full coverage insurance does not guarantee that the borrower is fully protected against financial loss. If a vehicle is stolen, accidentally damaged beyond repair, or otherwise declared a total loss, the borrower’s insurance coverage will only cover the actual cash value of the vehicle. The borrower remains liable for the difference between the insurance settlement and loan balance. This deficiency, or “GAP”, can easily amount to thousands of dollars.</w:t>
            </w:r>
          </w:p>
          <w:p w:rsidR="00BB29FC" w:rsidRPr="00BB29FC" w:rsidRDefault="00BB29FC" w:rsidP="00835A5F">
            <w:pPr>
              <w:rPr>
                <w:rFonts w:ascii="Arial" w:hAnsi="Arial" w:cs="Arial"/>
                <w:sz w:val="16"/>
                <w:szCs w:val="16"/>
              </w:rPr>
            </w:pPr>
          </w:p>
        </w:tc>
      </w:tr>
    </w:tbl>
    <w:p w:rsidR="00481769" w:rsidRPr="00BB29FC" w:rsidRDefault="00481769" w:rsidP="00214F70">
      <w:pPr>
        <w:spacing w:after="0" w:line="240" w:lineRule="auto"/>
        <w:rPr>
          <w:rFonts w:ascii="Arial" w:hAnsi="Arial" w:cs="Arial"/>
          <w:sz w:val="16"/>
          <w:szCs w:val="16"/>
        </w:rPr>
      </w:pPr>
    </w:p>
    <w:tbl>
      <w:tblPr>
        <w:tblStyle w:val="TableGrid"/>
        <w:tblW w:w="0" w:type="auto"/>
        <w:tblCellSpacing w:w="21" w:type="dxa"/>
        <w:tblCellMar>
          <w:left w:w="115" w:type="dxa"/>
          <w:right w:w="115" w:type="dxa"/>
        </w:tblCellMar>
        <w:tblLook w:val="04A0"/>
      </w:tblPr>
      <w:tblGrid>
        <w:gridCol w:w="9660"/>
      </w:tblGrid>
      <w:tr w:rsidR="00C81CFC" w:rsidTr="00835A5F">
        <w:trPr>
          <w:tblCellSpacing w:w="21" w:type="dxa"/>
        </w:trPr>
        <w:tc>
          <w:tcPr>
            <w:tcW w:w="9576" w:type="dxa"/>
          </w:tcPr>
          <w:p w:rsidR="00C81CFC" w:rsidRPr="00BB29FC" w:rsidRDefault="00C81CFC" w:rsidP="00835A5F">
            <w:pPr>
              <w:rPr>
                <w:rFonts w:ascii="Arial" w:hAnsi="Arial" w:cs="Arial"/>
                <w:b/>
                <w:sz w:val="16"/>
                <w:szCs w:val="16"/>
              </w:rPr>
            </w:pPr>
            <w:r w:rsidRPr="00BB29FC">
              <w:rPr>
                <w:rFonts w:ascii="Arial" w:hAnsi="Arial" w:cs="Arial"/>
                <w:b/>
                <w:sz w:val="16"/>
                <w:szCs w:val="16"/>
              </w:rPr>
              <w:t>Experience GAP Benefits</w:t>
            </w:r>
          </w:p>
        </w:tc>
      </w:tr>
      <w:tr w:rsidR="00C81CFC" w:rsidTr="00835A5F">
        <w:trPr>
          <w:tblCellSpacing w:w="21" w:type="dxa"/>
        </w:trPr>
        <w:tc>
          <w:tcPr>
            <w:tcW w:w="9576" w:type="dxa"/>
          </w:tcPr>
          <w:p w:rsidR="00C81CFC" w:rsidRDefault="00C81CFC" w:rsidP="00835A5F">
            <w:pPr>
              <w:rPr>
                <w:rFonts w:ascii="Arial" w:hAnsi="Arial" w:cs="Arial"/>
                <w:sz w:val="18"/>
                <w:szCs w:val="18"/>
              </w:rPr>
            </w:pPr>
          </w:p>
          <w:p w:rsidR="00C81CFC" w:rsidRPr="00BB29FC" w:rsidRDefault="00C81CFC" w:rsidP="00835A5F">
            <w:pPr>
              <w:rPr>
                <w:rFonts w:ascii="Arial" w:hAnsi="Arial" w:cs="Arial"/>
                <w:sz w:val="16"/>
                <w:szCs w:val="16"/>
              </w:rPr>
            </w:pPr>
            <w:r w:rsidRPr="00BB29FC">
              <w:rPr>
                <w:rFonts w:ascii="Arial" w:hAnsi="Arial" w:cs="Arial"/>
                <w:sz w:val="16"/>
                <w:szCs w:val="16"/>
              </w:rPr>
              <w:t>Our program protects the lender and the borrower from this deficiency. GAP covers the difference between the insurance settlement and the loan payoff, providing valuable protection against potential out-of-pocket dollars in the event of an insurance shortfall. In most states, even the borrower’s insurance deductible is covered up to $1,000.</w:t>
            </w:r>
          </w:p>
          <w:p w:rsidR="00C81CFC" w:rsidRPr="00BB29FC" w:rsidRDefault="00C81CFC" w:rsidP="00835A5F">
            <w:pPr>
              <w:rPr>
                <w:rFonts w:ascii="Arial" w:hAnsi="Arial" w:cs="Arial"/>
                <w:sz w:val="16"/>
                <w:szCs w:val="16"/>
              </w:rPr>
            </w:pPr>
          </w:p>
          <w:p w:rsidR="00C81CFC" w:rsidRPr="00BB29FC" w:rsidRDefault="00C81CFC" w:rsidP="00835A5F">
            <w:pPr>
              <w:rPr>
                <w:rFonts w:ascii="Arial" w:hAnsi="Arial" w:cs="Arial"/>
                <w:sz w:val="16"/>
                <w:szCs w:val="16"/>
              </w:rPr>
            </w:pPr>
            <w:r w:rsidRPr="00BB29FC">
              <w:rPr>
                <w:rFonts w:ascii="Arial" w:hAnsi="Arial" w:cs="Arial"/>
                <w:sz w:val="16"/>
                <w:szCs w:val="16"/>
              </w:rPr>
              <w:t>GAP Program benefits the lender by:</w:t>
            </w:r>
          </w:p>
          <w:p w:rsidR="00C81CFC" w:rsidRPr="00BB29FC" w:rsidRDefault="00C81CFC" w:rsidP="00835A5F">
            <w:pPr>
              <w:rPr>
                <w:rFonts w:ascii="Arial" w:hAnsi="Arial" w:cs="Arial"/>
                <w:sz w:val="16"/>
                <w:szCs w:val="16"/>
              </w:rPr>
            </w:pPr>
          </w:p>
          <w:p w:rsidR="00C81CFC" w:rsidRPr="00BB29FC" w:rsidRDefault="00C81CFC" w:rsidP="00835A5F">
            <w:pPr>
              <w:pStyle w:val="ListParagraph"/>
              <w:numPr>
                <w:ilvl w:val="0"/>
                <w:numId w:val="3"/>
              </w:numPr>
              <w:rPr>
                <w:rFonts w:ascii="Arial" w:hAnsi="Arial" w:cs="Arial"/>
                <w:sz w:val="16"/>
                <w:szCs w:val="16"/>
              </w:rPr>
            </w:pPr>
            <w:r w:rsidRPr="00BB29FC">
              <w:rPr>
                <w:rFonts w:ascii="Arial" w:hAnsi="Arial" w:cs="Arial"/>
                <w:sz w:val="16"/>
                <w:szCs w:val="16"/>
              </w:rPr>
              <w:t>Reducing credit and loan losses</w:t>
            </w:r>
          </w:p>
          <w:p w:rsidR="00C81CFC" w:rsidRPr="00BB29FC" w:rsidRDefault="00C81CFC" w:rsidP="00835A5F">
            <w:pPr>
              <w:pStyle w:val="ListParagraph"/>
              <w:numPr>
                <w:ilvl w:val="0"/>
                <w:numId w:val="3"/>
              </w:numPr>
              <w:rPr>
                <w:rFonts w:ascii="Arial" w:hAnsi="Arial" w:cs="Arial"/>
                <w:sz w:val="16"/>
                <w:szCs w:val="16"/>
              </w:rPr>
            </w:pPr>
            <w:r w:rsidRPr="00BB29FC">
              <w:rPr>
                <w:rFonts w:ascii="Arial" w:hAnsi="Arial" w:cs="Arial"/>
                <w:sz w:val="16"/>
                <w:szCs w:val="16"/>
              </w:rPr>
              <w:t>Providing valuable service to borrowers</w:t>
            </w:r>
          </w:p>
          <w:p w:rsidR="00C81CFC" w:rsidRPr="00BB29FC" w:rsidRDefault="00C81CFC" w:rsidP="00835A5F">
            <w:pPr>
              <w:pStyle w:val="ListParagraph"/>
              <w:numPr>
                <w:ilvl w:val="0"/>
                <w:numId w:val="3"/>
              </w:numPr>
              <w:rPr>
                <w:rFonts w:ascii="Arial" w:hAnsi="Arial" w:cs="Arial"/>
                <w:sz w:val="16"/>
                <w:szCs w:val="16"/>
              </w:rPr>
            </w:pPr>
            <w:r w:rsidRPr="00BB29FC">
              <w:rPr>
                <w:rFonts w:ascii="Arial" w:hAnsi="Arial" w:cs="Arial"/>
                <w:sz w:val="16"/>
                <w:szCs w:val="16"/>
              </w:rPr>
              <w:t>Providing fee income opportunities</w:t>
            </w:r>
          </w:p>
          <w:p w:rsidR="00C81CFC" w:rsidRPr="00BB29FC" w:rsidRDefault="00C81CFC" w:rsidP="00835A5F">
            <w:pPr>
              <w:pStyle w:val="ListParagraph"/>
              <w:numPr>
                <w:ilvl w:val="0"/>
                <w:numId w:val="3"/>
              </w:numPr>
              <w:rPr>
                <w:rFonts w:ascii="Arial" w:hAnsi="Arial" w:cs="Arial"/>
                <w:sz w:val="16"/>
                <w:szCs w:val="16"/>
              </w:rPr>
            </w:pPr>
            <w:r w:rsidRPr="00BB29FC">
              <w:rPr>
                <w:rFonts w:ascii="Arial" w:hAnsi="Arial" w:cs="Arial"/>
                <w:sz w:val="16"/>
                <w:szCs w:val="16"/>
              </w:rPr>
              <w:t>Increasing borrower satisfaction</w:t>
            </w:r>
          </w:p>
          <w:p w:rsidR="00C81CFC" w:rsidRPr="00BB29FC" w:rsidRDefault="00C81CFC" w:rsidP="00835A5F">
            <w:pPr>
              <w:pStyle w:val="ListParagraph"/>
              <w:numPr>
                <w:ilvl w:val="0"/>
                <w:numId w:val="3"/>
              </w:numPr>
              <w:rPr>
                <w:rFonts w:ascii="Arial" w:hAnsi="Arial" w:cs="Arial"/>
                <w:sz w:val="16"/>
                <w:szCs w:val="16"/>
              </w:rPr>
            </w:pPr>
            <w:r w:rsidRPr="00BB29FC">
              <w:rPr>
                <w:rFonts w:ascii="Arial" w:hAnsi="Arial" w:cs="Arial"/>
                <w:sz w:val="16"/>
                <w:szCs w:val="16"/>
              </w:rPr>
              <w:t>Providing easy administration and claim filing processes</w:t>
            </w:r>
          </w:p>
          <w:p w:rsidR="00C81CFC" w:rsidRPr="00BB29FC" w:rsidRDefault="00C81CFC" w:rsidP="00835A5F">
            <w:pPr>
              <w:pStyle w:val="ListParagraph"/>
              <w:numPr>
                <w:ilvl w:val="0"/>
                <w:numId w:val="3"/>
              </w:numPr>
              <w:rPr>
                <w:rFonts w:ascii="Arial" w:hAnsi="Arial" w:cs="Arial"/>
                <w:sz w:val="16"/>
                <w:szCs w:val="16"/>
              </w:rPr>
            </w:pPr>
            <w:r w:rsidRPr="00BB29FC">
              <w:rPr>
                <w:rFonts w:ascii="Arial" w:hAnsi="Arial" w:cs="Arial"/>
                <w:sz w:val="16"/>
                <w:szCs w:val="16"/>
              </w:rPr>
              <w:t>Providing optional internet-based training</w:t>
            </w:r>
          </w:p>
          <w:p w:rsidR="00C81CFC" w:rsidRPr="00C81CFC" w:rsidRDefault="00C81CFC" w:rsidP="00835A5F">
            <w:pPr>
              <w:pStyle w:val="ListParagraph"/>
              <w:rPr>
                <w:rFonts w:ascii="Arial" w:hAnsi="Arial" w:cs="Arial"/>
                <w:sz w:val="18"/>
                <w:szCs w:val="18"/>
              </w:rPr>
            </w:pPr>
          </w:p>
        </w:tc>
      </w:tr>
    </w:tbl>
    <w:p w:rsidR="00862C9A" w:rsidRDefault="00862C9A" w:rsidP="00214F70">
      <w:pPr>
        <w:spacing w:after="0" w:line="240" w:lineRule="auto"/>
        <w:rPr>
          <w:rFonts w:ascii="Arial" w:hAnsi="Arial" w:cs="Arial"/>
          <w:b/>
          <w:sz w:val="20"/>
          <w:szCs w:val="20"/>
        </w:rPr>
      </w:pPr>
    </w:p>
    <w:tbl>
      <w:tblPr>
        <w:tblStyle w:val="TableGrid"/>
        <w:tblW w:w="0" w:type="auto"/>
        <w:tblCellSpacing w:w="21" w:type="dxa"/>
        <w:tblCellMar>
          <w:left w:w="115" w:type="dxa"/>
          <w:right w:w="115" w:type="dxa"/>
        </w:tblCellMar>
        <w:tblLook w:val="04A0"/>
      </w:tblPr>
      <w:tblGrid>
        <w:gridCol w:w="9660"/>
      </w:tblGrid>
      <w:tr w:rsidR="00BB29FC" w:rsidTr="00880908">
        <w:trPr>
          <w:tblCellSpacing w:w="21" w:type="dxa"/>
        </w:trPr>
        <w:tc>
          <w:tcPr>
            <w:tcW w:w="9576" w:type="dxa"/>
          </w:tcPr>
          <w:p w:rsidR="00BB29FC" w:rsidRDefault="00BB29FC" w:rsidP="00880908">
            <w:pPr>
              <w:rPr>
                <w:rFonts w:ascii="Arial" w:hAnsi="Arial" w:cs="Arial"/>
                <w:b/>
                <w:sz w:val="16"/>
                <w:szCs w:val="16"/>
              </w:rPr>
            </w:pPr>
            <w:r>
              <w:rPr>
                <w:rFonts w:ascii="Arial" w:hAnsi="Arial" w:cs="Arial"/>
                <w:b/>
                <w:sz w:val="16"/>
                <w:szCs w:val="16"/>
              </w:rPr>
              <w:t>KISTLER AGENCY’S GAP PROGRAM BENEFITS</w:t>
            </w:r>
          </w:p>
        </w:tc>
      </w:tr>
      <w:tr w:rsidR="00BB29FC" w:rsidTr="00880908">
        <w:trPr>
          <w:tblCellSpacing w:w="21" w:type="dxa"/>
        </w:trPr>
        <w:tc>
          <w:tcPr>
            <w:tcW w:w="9576" w:type="dxa"/>
          </w:tcPr>
          <w:p w:rsidR="00BB29FC" w:rsidRDefault="00BB29FC" w:rsidP="00BB29FC">
            <w:pPr>
              <w:pStyle w:val="ListParagraph"/>
              <w:rPr>
                <w:rFonts w:ascii="Arial" w:hAnsi="Arial" w:cs="Arial"/>
                <w:b/>
                <w:sz w:val="16"/>
                <w:szCs w:val="16"/>
              </w:rPr>
            </w:pPr>
          </w:p>
          <w:p w:rsidR="00BB29FC" w:rsidRPr="002E128D" w:rsidRDefault="00BB29FC" w:rsidP="00BB29FC">
            <w:pPr>
              <w:pStyle w:val="ListParagraph"/>
              <w:numPr>
                <w:ilvl w:val="0"/>
                <w:numId w:val="2"/>
              </w:numPr>
              <w:rPr>
                <w:rFonts w:ascii="Arial" w:hAnsi="Arial" w:cs="Arial"/>
                <w:sz w:val="16"/>
                <w:szCs w:val="16"/>
              </w:rPr>
            </w:pPr>
            <w:r w:rsidRPr="002E128D">
              <w:rPr>
                <w:rFonts w:ascii="Arial" w:hAnsi="Arial" w:cs="Arial"/>
                <w:sz w:val="16"/>
                <w:szCs w:val="16"/>
              </w:rPr>
              <w:t>Limiting out of pocket expense in the event of a total loss</w:t>
            </w:r>
          </w:p>
          <w:p w:rsidR="00BB29FC" w:rsidRPr="002E128D" w:rsidRDefault="00BB29FC" w:rsidP="00BB29FC">
            <w:pPr>
              <w:pStyle w:val="ListParagraph"/>
              <w:numPr>
                <w:ilvl w:val="0"/>
                <w:numId w:val="2"/>
              </w:numPr>
              <w:rPr>
                <w:rFonts w:ascii="Arial" w:hAnsi="Arial" w:cs="Arial"/>
                <w:sz w:val="16"/>
                <w:szCs w:val="16"/>
              </w:rPr>
            </w:pPr>
            <w:r w:rsidRPr="002E128D">
              <w:rPr>
                <w:rFonts w:ascii="Arial" w:hAnsi="Arial" w:cs="Arial"/>
                <w:sz w:val="16"/>
                <w:szCs w:val="16"/>
              </w:rPr>
              <w:t>Protecting the borrower’s credit rating</w:t>
            </w:r>
          </w:p>
          <w:p w:rsidR="00BB29FC" w:rsidRPr="002E128D" w:rsidRDefault="00BB29FC" w:rsidP="00BB29FC">
            <w:pPr>
              <w:pStyle w:val="ListParagraph"/>
              <w:numPr>
                <w:ilvl w:val="0"/>
                <w:numId w:val="2"/>
              </w:numPr>
              <w:rPr>
                <w:rFonts w:ascii="Arial" w:hAnsi="Arial" w:cs="Arial"/>
                <w:sz w:val="16"/>
                <w:szCs w:val="16"/>
              </w:rPr>
            </w:pPr>
            <w:r w:rsidRPr="002E128D">
              <w:rPr>
                <w:rFonts w:ascii="Arial" w:hAnsi="Arial" w:cs="Arial"/>
                <w:sz w:val="16"/>
                <w:szCs w:val="16"/>
              </w:rPr>
              <w:t>Preventing financial hardship</w:t>
            </w:r>
          </w:p>
          <w:p w:rsidR="00BB29FC" w:rsidRPr="002E128D" w:rsidRDefault="00BB29FC" w:rsidP="00BB29FC">
            <w:pPr>
              <w:pStyle w:val="ListParagraph"/>
              <w:numPr>
                <w:ilvl w:val="0"/>
                <w:numId w:val="2"/>
              </w:numPr>
              <w:rPr>
                <w:rFonts w:ascii="Arial" w:hAnsi="Arial" w:cs="Arial"/>
                <w:sz w:val="16"/>
                <w:szCs w:val="16"/>
              </w:rPr>
            </w:pPr>
            <w:r w:rsidRPr="002E128D">
              <w:rPr>
                <w:rFonts w:ascii="Arial" w:hAnsi="Arial" w:cs="Arial"/>
                <w:sz w:val="16"/>
                <w:szCs w:val="16"/>
              </w:rPr>
              <w:t>Making the purchase of a replacement vehicle more affordable</w:t>
            </w:r>
          </w:p>
          <w:p w:rsidR="00BB29FC" w:rsidRDefault="00BB29FC" w:rsidP="00BB29FC">
            <w:pPr>
              <w:pStyle w:val="ListParagraph"/>
              <w:numPr>
                <w:ilvl w:val="0"/>
                <w:numId w:val="2"/>
              </w:numPr>
              <w:rPr>
                <w:rFonts w:ascii="Arial" w:hAnsi="Arial" w:cs="Arial"/>
                <w:sz w:val="16"/>
                <w:szCs w:val="16"/>
              </w:rPr>
            </w:pPr>
            <w:r w:rsidRPr="002E128D">
              <w:rPr>
                <w:rFonts w:ascii="Arial" w:hAnsi="Arial" w:cs="Arial"/>
                <w:sz w:val="16"/>
                <w:szCs w:val="16"/>
              </w:rPr>
              <w:t xml:space="preserve">Providing </w:t>
            </w:r>
            <w:r>
              <w:rPr>
                <w:rFonts w:ascii="Arial" w:hAnsi="Arial" w:cs="Arial"/>
                <w:sz w:val="16"/>
                <w:szCs w:val="16"/>
              </w:rPr>
              <w:t xml:space="preserve"> </w:t>
            </w:r>
            <w:r w:rsidRPr="002E128D">
              <w:rPr>
                <w:rFonts w:ascii="Arial" w:hAnsi="Arial" w:cs="Arial"/>
                <w:sz w:val="16"/>
                <w:szCs w:val="16"/>
              </w:rPr>
              <w:t>peace of mind</w:t>
            </w:r>
          </w:p>
          <w:p w:rsidR="00BB29FC" w:rsidRPr="00761A0F" w:rsidRDefault="00BB29FC" w:rsidP="00BB29FC">
            <w:pPr>
              <w:pStyle w:val="ListParagraph"/>
              <w:rPr>
                <w:rFonts w:ascii="Arial" w:hAnsi="Arial" w:cs="Arial"/>
                <w:b/>
                <w:sz w:val="16"/>
                <w:szCs w:val="16"/>
              </w:rPr>
            </w:pPr>
          </w:p>
        </w:tc>
      </w:tr>
    </w:tbl>
    <w:p w:rsidR="00862C9A" w:rsidRPr="00862C9A" w:rsidRDefault="00862C9A" w:rsidP="00BB29FC">
      <w:pPr>
        <w:pStyle w:val="ListParagraph"/>
        <w:spacing w:after="0" w:line="240" w:lineRule="auto"/>
        <w:rPr>
          <w:rFonts w:ascii="Arial" w:hAnsi="Arial" w:cs="Arial"/>
          <w:sz w:val="16"/>
          <w:szCs w:val="16"/>
        </w:rPr>
      </w:pPr>
    </w:p>
    <w:tbl>
      <w:tblPr>
        <w:tblStyle w:val="TableGrid"/>
        <w:tblW w:w="0" w:type="auto"/>
        <w:tblCellSpacing w:w="21" w:type="dxa"/>
        <w:tblCellMar>
          <w:left w:w="115" w:type="dxa"/>
          <w:right w:w="115" w:type="dxa"/>
        </w:tblCellMar>
        <w:tblLook w:val="04A0"/>
      </w:tblPr>
      <w:tblGrid>
        <w:gridCol w:w="9660"/>
      </w:tblGrid>
      <w:tr w:rsidR="002E128D" w:rsidTr="00726729">
        <w:trPr>
          <w:tblCellSpacing w:w="21" w:type="dxa"/>
        </w:trPr>
        <w:tc>
          <w:tcPr>
            <w:tcW w:w="9576" w:type="dxa"/>
          </w:tcPr>
          <w:p w:rsidR="002E128D" w:rsidRDefault="002E128D" w:rsidP="00726729">
            <w:pPr>
              <w:rPr>
                <w:rFonts w:ascii="Arial" w:hAnsi="Arial" w:cs="Arial"/>
                <w:b/>
                <w:sz w:val="16"/>
                <w:szCs w:val="16"/>
              </w:rPr>
            </w:pPr>
            <w:r>
              <w:rPr>
                <w:rFonts w:ascii="Arial" w:hAnsi="Arial" w:cs="Arial"/>
                <w:b/>
                <w:sz w:val="16"/>
                <w:szCs w:val="16"/>
              </w:rPr>
              <w:t>GAP PLUS</w:t>
            </w:r>
          </w:p>
        </w:tc>
      </w:tr>
      <w:tr w:rsidR="002E128D" w:rsidTr="00726729">
        <w:trPr>
          <w:tblCellSpacing w:w="21" w:type="dxa"/>
        </w:trPr>
        <w:tc>
          <w:tcPr>
            <w:tcW w:w="9576" w:type="dxa"/>
          </w:tcPr>
          <w:p w:rsidR="002E128D" w:rsidRDefault="002E128D" w:rsidP="00726729">
            <w:pPr>
              <w:rPr>
                <w:rFonts w:ascii="Arial" w:hAnsi="Arial" w:cs="Arial"/>
                <w:b/>
                <w:sz w:val="16"/>
                <w:szCs w:val="16"/>
              </w:rPr>
            </w:pPr>
          </w:p>
          <w:p w:rsidR="002E128D" w:rsidRDefault="002E128D" w:rsidP="002E128D">
            <w:pPr>
              <w:pStyle w:val="ListParagraph"/>
              <w:rPr>
                <w:rFonts w:ascii="Arial" w:hAnsi="Arial" w:cs="Arial"/>
                <w:sz w:val="16"/>
                <w:szCs w:val="16"/>
              </w:rPr>
            </w:pPr>
            <w:r>
              <w:rPr>
                <w:rFonts w:ascii="Arial" w:hAnsi="Arial" w:cs="Arial"/>
                <w:sz w:val="16"/>
                <w:szCs w:val="16"/>
              </w:rPr>
              <w:t>GAP Plus is an option that delivers an additional borrower benefit by providing a discount allowance – many times as high as $1,000 – toward the purchase and financing of a replacement vehicle, as long as the replacement vehicle is financed with the same lender. GAP Plus is not available in all states.</w:t>
            </w:r>
          </w:p>
          <w:p w:rsidR="00EE2A77" w:rsidRPr="00761A0F" w:rsidRDefault="00EE2A77" w:rsidP="002E128D">
            <w:pPr>
              <w:pStyle w:val="ListParagraph"/>
              <w:rPr>
                <w:rFonts w:ascii="Arial" w:hAnsi="Arial" w:cs="Arial"/>
                <w:b/>
                <w:sz w:val="16"/>
                <w:szCs w:val="16"/>
              </w:rPr>
            </w:pPr>
          </w:p>
        </w:tc>
      </w:tr>
    </w:tbl>
    <w:p w:rsidR="002E128D" w:rsidRDefault="002E128D" w:rsidP="00214F70">
      <w:pPr>
        <w:spacing w:after="0" w:line="240" w:lineRule="auto"/>
        <w:rPr>
          <w:rFonts w:ascii="Arial" w:hAnsi="Arial" w:cs="Arial"/>
          <w:sz w:val="16"/>
          <w:szCs w:val="16"/>
        </w:rPr>
      </w:pPr>
    </w:p>
    <w:tbl>
      <w:tblPr>
        <w:tblStyle w:val="TableGrid"/>
        <w:tblW w:w="0" w:type="auto"/>
        <w:tblCellSpacing w:w="21" w:type="dxa"/>
        <w:tblCellMar>
          <w:left w:w="115" w:type="dxa"/>
          <w:right w:w="115" w:type="dxa"/>
        </w:tblCellMar>
        <w:tblLook w:val="04A0"/>
      </w:tblPr>
      <w:tblGrid>
        <w:gridCol w:w="9660"/>
      </w:tblGrid>
      <w:tr w:rsidR="002E128D" w:rsidTr="00726729">
        <w:trPr>
          <w:tblCellSpacing w:w="21" w:type="dxa"/>
        </w:trPr>
        <w:tc>
          <w:tcPr>
            <w:tcW w:w="9576" w:type="dxa"/>
          </w:tcPr>
          <w:p w:rsidR="002E128D" w:rsidRDefault="002E128D" w:rsidP="00726729">
            <w:pPr>
              <w:rPr>
                <w:rFonts w:ascii="Arial" w:hAnsi="Arial" w:cs="Arial"/>
                <w:b/>
                <w:sz w:val="16"/>
                <w:szCs w:val="16"/>
              </w:rPr>
            </w:pPr>
            <w:r>
              <w:rPr>
                <w:rFonts w:ascii="Arial" w:hAnsi="Arial" w:cs="Arial"/>
                <w:b/>
                <w:sz w:val="16"/>
                <w:szCs w:val="16"/>
              </w:rPr>
              <w:t>REPORTING SERVICES</w:t>
            </w:r>
          </w:p>
        </w:tc>
      </w:tr>
      <w:tr w:rsidR="002E128D" w:rsidTr="00726729">
        <w:trPr>
          <w:tblCellSpacing w:w="21" w:type="dxa"/>
        </w:trPr>
        <w:tc>
          <w:tcPr>
            <w:tcW w:w="9576" w:type="dxa"/>
          </w:tcPr>
          <w:p w:rsidR="002E128D" w:rsidRDefault="002E128D" w:rsidP="00726729">
            <w:pPr>
              <w:rPr>
                <w:rFonts w:ascii="Arial" w:hAnsi="Arial" w:cs="Arial"/>
                <w:b/>
                <w:sz w:val="16"/>
                <w:szCs w:val="16"/>
              </w:rPr>
            </w:pPr>
          </w:p>
          <w:p w:rsidR="002E128D" w:rsidRDefault="002E128D" w:rsidP="002E128D">
            <w:pPr>
              <w:pStyle w:val="ListParagraph"/>
              <w:rPr>
                <w:rFonts w:ascii="Arial" w:hAnsi="Arial" w:cs="Arial"/>
                <w:sz w:val="16"/>
                <w:szCs w:val="16"/>
              </w:rPr>
            </w:pPr>
            <w:r>
              <w:rPr>
                <w:rFonts w:ascii="Arial" w:hAnsi="Arial" w:cs="Arial"/>
                <w:sz w:val="16"/>
                <w:szCs w:val="16"/>
              </w:rPr>
              <w:t>Timely and comprehensive reports are an integral part of our ongoing communication with you. We can easily generate custom reports, drawing from the extensive information in our database.</w:t>
            </w:r>
          </w:p>
          <w:p w:rsidR="00EE2A77" w:rsidRPr="00761A0F" w:rsidRDefault="00EE2A77" w:rsidP="002E128D">
            <w:pPr>
              <w:pStyle w:val="ListParagraph"/>
              <w:rPr>
                <w:rFonts w:ascii="Arial" w:hAnsi="Arial" w:cs="Arial"/>
                <w:b/>
                <w:sz w:val="16"/>
                <w:szCs w:val="16"/>
              </w:rPr>
            </w:pPr>
          </w:p>
        </w:tc>
      </w:tr>
    </w:tbl>
    <w:p w:rsidR="00214F70" w:rsidRDefault="00214F70" w:rsidP="00BB29FC">
      <w:pPr>
        <w:spacing w:after="0" w:line="720" w:lineRule="auto"/>
        <w:rPr>
          <w:rFonts w:ascii="Arial" w:hAnsi="Arial" w:cs="Arial"/>
          <w:sz w:val="16"/>
          <w:szCs w:val="16"/>
        </w:rPr>
      </w:pPr>
      <w:r>
        <w:rPr>
          <w:rFonts w:ascii="Arial" w:hAnsi="Arial" w:cs="Arial"/>
          <w:sz w:val="16"/>
          <w:szCs w:val="16"/>
        </w:rPr>
        <w:t>For full details on our GAP program, please contact KISLTER AGENCY, LLC</w:t>
      </w:r>
    </w:p>
    <w:p w:rsidR="002E128D" w:rsidRDefault="002E128D" w:rsidP="002E128D">
      <w:pPr>
        <w:spacing w:after="0"/>
        <w:rPr>
          <w:rFonts w:ascii="Arial" w:hAnsi="Arial" w:cs="Arial"/>
          <w:sz w:val="16"/>
          <w:szCs w:val="16"/>
        </w:rPr>
      </w:pPr>
    </w:p>
    <w:p w:rsidR="002E128D" w:rsidRDefault="002E128D" w:rsidP="002E128D">
      <w:pPr>
        <w:spacing w:after="0"/>
        <w:rPr>
          <w:rFonts w:ascii="Arial" w:hAnsi="Arial" w:cs="Arial"/>
          <w:sz w:val="16"/>
          <w:szCs w:val="16"/>
        </w:rPr>
      </w:pPr>
    </w:p>
    <w:p w:rsidR="00CD1F83" w:rsidRDefault="00BB29FC"/>
    <w:p w:rsidR="007206BF" w:rsidRDefault="007206BF"/>
    <w:p w:rsidR="007206BF" w:rsidRDefault="007206BF"/>
    <w:p w:rsidR="007206BF" w:rsidRDefault="007206BF"/>
    <w:p w:rsidR="007206BF" w:rsidRDefault="007206BF"/>
    <w:p w:rsidR="007206BF" w:rsidRDefault="007206BF"/>
    <w:p w:rsidR="007206BF" w:rsidRDefault="007206BF"/>
    <w:p w:rsidR="007206BF" w:rsidRDefault="007206BF"/>
    <w:p w:rsidR="007206BF" w:rsidRDefault="007206BF"/>
    <w:p w:rsidR="007206BF" w:rsidRDefault="007206BF"/>
    <w:p w:rsidR="007206BF" w:rsidRDefault="007206BF"/>
    <w:sectPr w:rsidR="007206BF" w:rsidSect="00184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E1421"/>
    <w:multiLevelType w:val="hybridMultilevel"/>
    <w:tmpl w:val="E94A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9B3119"/>
    <w:multiLevelType w:val="hybridMultilevel"/>
    <w:tmpl w:val="6F42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253F57"/>
    <w:multiLevelType w:val="hybridMultilevel"/>
    <w:tmpl w:val="6A70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128D"/>
    <w:rsid w:val="00184BFF"/>
    <w:rsid w:val="00214F70"/>
    <w:rsid w:val="002E128D"/>
    <w:rsid w:val="00395B97"/>
    <w:rsid w:val="00457751"/>
    <w:rsid w:val="00457F97"/>
    <w:rsid w:val="00481769"/>
    <w:rsid w:val="006722A7"/>
    <w:rsid w:val="006A48D5"/>
    <w:rsid w:val="007206BF"/>
    <w:rsid w:val="00862C9A"/>
    <w:rsid w:val="00A13054"/>
    <w:rsid w:val="00A269BA"/>
    <w:rsid w:val="00B403EB"/>
    <w:rsid w:val="00B750E2"/>
    <w:rsid w:val="00BB29FC"/>
    <w:rsid w:val="00C81CFC"/>
    <w:rsid w:val="00CB0F80"/>
    <w:rsid w:val="00EE2A77"/>
    <w:rsid w:val="00F73A5F"/>
    <w:rsid w:val="00F83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28D"/>
    <w:rPr>
      <w:color w:val="0000FF" w:themeColor="hyperlink"/>
      <w:u w:val="single"/>
    </w:rPr>
  </w:style>
  <w:style w:type="table" w:styleId="TableGrid">
    <w:name w:val="Table Grid"/>
    <w:basedOn w:val="TableNormal"/>
    <w:uiPriority w:val="59"/>
    <w:rsid w:val="002E1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128D"/>
    <w:pPr>
      <w:ind w:left="720"/>
      <w:contextualSpacing/>
    </w:pPr>
  </w:style>
  <w:style w:type="paragraph" w:styleId="BalloonText">
    <w:name w:val="Balloon Text"/>
    <w:basedOn w:val="Normal"/>
    <w:link w:val="BalloonTextChar"/>
    <w:uiPriority w:val="99"/>
    <w:semiHidden/>
    <w:unhideWhenUsed/>
    <w:rsid w:val="00EE2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kistler@kistleragenc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E9480-1DC2-4B2D-B160-4F2A5B86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PaceS</dc:creator>
  <cp:lastModifiedBy>PaceS</cp:lastModifiedBy>
  <cp:revision>9</cp:revision>
  <cp:lastPrinted>2012-02-24T21:47:00Z</cp:lastPrinted>
  <dcterms:created xsi:type="dcterms:W3CDTF">2012-02-24T21:39:00Z</dcterms:created>
  <dcterms:modified xsi:type="dcterms:W3CDTF">2012-03-14T18:11:00Z</dcterms:modified>
</cp:coreProperties>
</file>